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72" w:rsidRPr="00002159" w:rsidRDefault="00002159" w:rsidP="00002159">
      <w:pPr>
        <w:pStyle w:val="Nagwek1"/>
        <w:jc w:val="center"/>
        <w:rPr>
          <w:rFonts w:cs="Aharoni"/>
        </w:rPr>
      </w:pPr>
      <w:r w:rsidRPr="00002159">
        <w:rPr>
          <w:rFonts w:cs="Aharoni"/>
        </w:rPr>
        <w:t>CO ZMIENIŁO SIĘ W USTAWIE PRAWO BUDOWLANE OD 2017?</w:t>
      </w:r>
    </w:p>
    <w:p w:rsidR="00002159" w:rsidRPr="00002159" w:rsidRDefault="00002159" w:rsidP="00002159"/>
    <w:p w:rsidR="00D96701" w:rsidRDefault="00D96701" w:rsidP="00B73772">
      <w:pPr>
        <w:pStyle w:val="oznrodzaktutznustawalubrozporzdzenieiorganwydajcy"/>
        <w:spacing w:before="0" w:beforeAutospacing="0" w:after="120" w:afterAutospacing="0" w:line="276" w:lineRule="auto"/>
        <w:jc w:val="center"/>
        <w:rPr>
          <w:rFonts w:ascii="Times" w:hAnsi="Times" w:cs="Times"/>
          <w:b/>
          <w:bCs/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aps/>
          <w:color w:val="000000"/>
          <w:spacing w:val="54"/>
          <w:sz w:val="18"/>
          <w:szCs w:val="18"/>
        </w:rPr>
        <w:t>USTAWA</w:t>
      </w:r>
      <w:r>
        <w:rPr>
          <w:rFonts w:ascii="Arial" w:hAnsi="Arial" w:cs="Arial"/>
          <w:color w:val="000000"/>
          <w:sz w:val="18"/>
          <w:szCs w:val="18"/>
        </w:rPr>
        <w:t>z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dnia 16 grudnia 2016 r.</w:t>
      </w:r>
      <w:r w:rsidR="00B73772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o zmianie niektórych ustaw w celu poprawy otoczenia</w:t>
      </w:r>
      <w:r>
        <w:rPr>
          <w:rFonts w:ascii="Arial" w:hAnsi="Arial" w:cs="Arial"/>
          <w:b/>
          <w:bCs/>
          <w:color w:val="000000"/>
          <w:sz w:val="18"/>
          <w:szCs w:val="18"/>
        </w:rPr>
        <w:br/>
        <w:t>prawnego przedsiębiorców</w:t>
      </w:r>
    </w:p>
    <w:p w:rsidR="00D96701" w:rsidRDefault="00D96701" w:rsidP="00D96701">
      <w:pPr>
        <w:pStyle w:val="artartustawynprozporzdzenia"/>
        <w:spacing w:before="120" w:beforeAutospacing="0" w:after="0" w:afterAutospacing="0" w:line="276" w:lineRule="auto"/>
        <w:ind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W ustawie z dnia 7 lipca 1994 r. – Prawo budowlane (Dz. U. z 2016 r. poz. 290, 961, 1165 i 1250) wprowadza się następujące zmiany: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1)     w art. 3 uchyla się pkt 17;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2)     użyte w: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art. 9 w ust. 2 oraz w ust. 3 w zdaniu pierwszym,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art. 19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c)     art. 20 w ust. 1 w pkt 4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d)    art. 30 w ust. 1 we wprowadzeniu do wyliczenia oraz w ust. 5c, w ust. 6 we wprowadzeniu do wyliczenia i w ust. 7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e)     art. 30a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f)     art. 31 w ust. 2, w ust. 3 we wprowadzeniu do wyliczenia i w ust. 4,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g)    art. 33 w ust. 5,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h)    art. 35 w ust. 1 we wprowadzeniu do wyliczenia, w ust. 3–5 oraz w ust. 6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i)     art. 36 w ust. 1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j)     art. 36a w ust. 1a i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k)    art. 38 w ust. 1–3,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l)     art. 39 w ust. 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m)   art. 42 w ust. 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n)    art. 43 w ust.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o)    art. 45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p)    art. 47 w ust.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q)    art. 71 w ust. 2–4 i w ust. 5 we wprowadzeniu do wyliczenia</w:t>
      </w:r>
    </w:p>
    <w:p w:rsidR="00D96701" w:rsidRDefault="00D96701" w:rsidP="00D96701">
      <w:pPr>
        <w:pStyle w:val="czwsplitczwsplnaliter"/>
        <w:spacing w:before="0" w:beforeAutospacing="0" w:after="0" w:afterAutospacing="0" w:line="276" w:lineRule="auto"/>
        <w:ind w:left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 w różnych przypadkach wyrazy „właściwy organ” zastępuje się użytymi w odpowiednich przypadkach wyrazami „organ administracji architektoniczno-budowlanej”;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3)     użyty w art. 19 w ust. 2 oraz w art. 30 w ust. 5e wyraz „organ” zastępuje się wyrazami „organ administracji architektoniczno-budowlanej”;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4)     w art. 28 po ust. 1 dodaje się ust. 1a w brzmieniu: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„1a. Decyzję o pozwoleniu na budowę wydaje organ administracji architektoniczno-budowlanej.”;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5)     w art. 29: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w ust. 1: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w pkt 1 lit. d otrzymuje brzmienie:</w:t>
      </w:r>
    </w:p>
    <w:p w:rsidR="00D96701" w:rsidRDefault="00D96701" w:rsidP="00D96701">
      <w:pPr>
        <w:pStyle w:val="ztirlitzmlittiret"/>
        <w:spacing w:before="0" w:beforeAutospacing="0" w:after="0" w:afterAutospacing="0" w:line="276" w:lineRule="auto"/>
        <w:ind w:left="1859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„d)   naziemnych silosów na materiały sypkie o pojemności do 30 m³ i wysokości nie większej niż 7 m,”,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pkt 2 otrzymuje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„2)   wolno stojących parterowych budynków gospodarczych, garaży, wiat lub przydomowych ganków i oranżerii (ogrodów zimowych) o powierzchni zabudowy do 35 m², przy czym łączna liczba tych obiektów na działce nie może przekraczać dwóch na każde 500 m² powierzchni działki;”,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po pkt 2c dodaje się pkt 2d w brzmieniu: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„2d) wolno stojących altan o powierzchni zabudowy do 35 m</w:t>
      </w:r>
      <w:r>
        <w:rPr>
          <w:rStyle w:val="igindeksgrny"/>
          <w:rFonts w:ascii="Arial" w:hAnsi="Arial" w:cs="Arial"/>
          <w:color w:val="000000"/>
          <w:sz w:val="18"/>
          <w:szCs w:val="18"/>
          <w:vertAlign w:val="superscript"/>
        </w:rPr>
        <w:t>2</w:t>
      </w:r>
      <w:r>
        <w:rPr>
          <w:rFonts w:ascii="Arial" w:hAnsi="Arial" w:cs="Arial"/>
          <w:color w:val="000000"/>
          <w:sz w:val="18"/>
          <w:szCs w:val="18"/>
        </w:rPr>
        <w:t>, przy czym łączna liczba tych obiektów na działce nie może przekraczać dwóch na każde 500 m</w:t>
      </w:r>
      <w:r>
        <w:rPr>
          <w:rStyle w:val="igindeksgrny"/>
          <w:rFonts w:ascii="Arial" w:hAnsi="Arial" w:cs="Arial"/>
          <w:color w:val="000000"/>
          <w:sz w:val="18"/>
          <w:szCs w:val="18"/>
          <w:vertAlign w:val="superscript"/>
        </w:rPr>
        <w:t>2</w:t>
      </w:r>
      <w:r>
        <w:rPr>
          <w:rStyle w:val="apple-converted-space"/>
          <w:rFonts w:ascii="Arial" w:hAnsi="Arial" w:cs="Arial"/>
          <w:color w:val="000000"/>
          <w:sz w:val="18"/>
          <w:szCs w:val="18"/>
        </w:rPr>
        <w:t> </w:t>
      </w:r>
      <w:r>
        <w:rPr>
          <w:rFonts w:ascii="Arial" w:hAnsi="Arial" w:cs="Arial"/>
          <w:color w:val="000000"/>
          <w:sz w:val="18"/>
          <w:szCs w:val="18"/>
        </w:rPr>
        <w:t>powierzchni działki;”,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pkt 11 otrzymuje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„11) zjazdów z dróg krajowych i wojewódzkich oraz zatok parkingowych na tych drogach;”,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po pkt 11 dodaje się pkt 11a i 11b w brzmieniu: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„11a)  zjazdów z dróg powiatowych i gminnych oraz zatok parkingowych na tych drogach;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11b) przepustów o średnicy do 100 cm;”,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w pkt 12 wyrazy „120 dni” zastępuje się wyrazami „180 dni”,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     pkt 27 otrzymuje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„27) instalacji elektroenergetycznych, wodociągowych, kanalizacyjnych, cieplnych, klimatyzacyjnych i telekomunikacyjnych wewnątrz użytkowanego budynku;”,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w ust. 2: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–     po pkt 1a dodaje się pkt 1aa w brzmieniu: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„1aa)  przebudowie budynków, innych niż budynki, o których mowa w ust. 1, z wyłączeniem ich przegród zewnętrznych oraz elementów konstrukcyjnych, a także z wyłączeniem budynków, których projekty budowlane wymagają uzgodnienia pod względem ochrony przeciwpożarowej;”,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pkt 1b otrzymuje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„1b) przebudowie przegród zewnętrznych oraz elementów konstrukcyjnych budynków mieszkalnych jednorodzinnych, o ile nie prowadzi ona do zwiększenia dotychczasowego obszaru oddziaływania tych budynków;”;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6)     w art. 30: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w ust. 1: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pkt 1 otrzymuje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„1)   budowa, o której mowa w art. 29 ust. 1 pkt 1 lit. b–d, pkt 1a–2b, 3, 3a, 9, 11, 12, 14, 16, 19, 19a, 20b oraz 28;”,</w:t>
      </w:r>
    </w:p>
    <w:p w:rsidR="00D96701" w:rsidRDefault="00D96701" w:rsidP="00D96701">
      <w:pPr>
        <w:pStyle w:val="tirtiret"/>
        <w:spacing w:before="0" w:beforeAutospacing="0" w:after="0" w:afterAutospacing="0" w:line="276" w:lineRule="auto"/>
        <w:ind w:left="1384" w:hanging="397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     pkt 2a i 2b otrzymują brzmienie: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„2a)  wykonywanie remontu, o którym mowa w art. 29 ust. 2 pkt 1, dotyczącego:</w:t>
      </w:r>
    </w:p>
    <w:p w:rsidR="00D96701" w:rsidRDefault="00D96701" w:rsidP="00D96701">
      <w:pPr>
        <w:pStyle w:val="ztirlitwpktzmlitwpkttiret"/>
        <w:spacing w:before="0" w:beforeAutospacing="0" w:after="0" w:afterAutospacing="0" w:line="276" w:lineRule="auto"/>
        <w:ind w:left="233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budowli, których budowa wymaga uzyskania pozwolenia na budowę,</w:t>
      </w:r>
    </w:p>
    <w:p w:rsidR="00D96701" w:rsidRDefault="00D96701" w:rsidP="00D96701">
      <w:pPr>
        <w:pStyle w:val="ztirlitwpktzmlitwpkttiret"/>
        <w:spacing w:before="0" w:beforeAutospacing="0" w:after="0" w:afterAutospacing="0" w:line="276" w:lineRule="auto"/>
        <w:ind w:left="233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  przegród zewnętrznych albo elementów konstrukcyjnych budynków, których budowa wymaga uzyskania pozwolenia na budowę;</w:t>
      </w:r>
    </w:p>
    <w:p w:rsidR="00D96701" w:rsidRDefault="00D96701" w:rsidP="00D96701">
      <w:pPr>
        <w:pStyle w:val="ztirpktzmpkttiret"/>
        <w:spacing w:before="0" w:beforeAutospacing="0" w:after="0" w:afterAutospacing="0" w:line="276" w:lineRule="auto"/>
        <w:ind w:left="1893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2b)   wykonywanie przebudowy obiektów, o których mowa w art. 29 ust. 1 pkt 1 lit. b–d oraz pkt 2b, 3, 3a, 11, 12, 14, 16, 19, 19a, 20b i 28;”,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ust. 5 otrzymuje brzmienie: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„5. Zgłoszenia, o którym mowa w ust. 1, należy dokonać przed terminem zamierzonego rozpoczęcia robót budowlanych. Organ administracji architektoniczno-budowlanej, w terminie 21 dni od dnia doręczenia zgłoszenia, może, w drodze decyzji, wnieść sprzeciw. Do wykonywania robót budowlanych można przystąpić, jeżeli organ administracji architektoniczno-budowlanej nie wniósł sprzeciwu w tym terminie.”,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c)     po ust. 5a dodaje się ust. 5aa w brzmieniu: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„5aa. Organ administracji architektoniczno-budowlanej może z urzędu, przed upływem terminu, o którym mowa w ust. 5, wydać zaświadczenie o braku podstaw do wniesienia sprzeciwu. Wydanie zaświadczenia wyłącza możliwość wniesienia sprzeciwu, o którym mowa w ust. 6 i 7, oraz uprawnia inwestora do rozpoczęcia robót budowlanych. Przepis ust. 5e stosuje się odpowiednio.”;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7)     w art. 31 w ust. 2 zdanie drugie otrzymuje brzmienie:</w:t>
      </w:r>
    </w:p>
    <w:p w:rsidR="00D96701" w:rsidRDefault="00D96701" w:rsidP="00D96701">
      <w:pPr>
        <w:pStyle w:val="zfragzmfragmentunpzdaniaartykuempunktem"/>
        <w:spacing w:before="0" w:beforeAutospacing="0" w:after="0" w:afterAutospacing="0" w:line="276" w:lineRule="auto"/>
        <w:ind w:left="510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„Przepisy art. 30 ust. 5, 5aa, 5c, 5d i 6a stosuje się odpowiednio.”;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8)     w art. 36a: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ust. 1 otrzymuje brzmienie: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„1. Istotne odstąpienie od zatwierdzonego projektu budowlanego lub innych warunków pozwolenia na budowę jest dopuszczalne jedynie po uzyskaniu decyzji o zmianie pozwolenia na budowę wydanej przez organ administracji architektoniczno-budowlanej.”,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ust. 5 otrzymuje brzmienie: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„5. Istotne odstąpienie od zatwierdzonego projektu budowlanego lub innych warunków pozwolenia na budowę stanowi odstąpienie w zakresie: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1)     projektu zagospodarowania działki lub terenu;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2)     charakterystycznych parametrów obiektu budowlanego: kubatury, powierzchni zabudowy, wysokości, długości, szerokości i liczby kondygnacji obiektu budowlanego, z zastrzeżeniem ust. 5a;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3)     zapewnienia warunków niezbędnych do korzystania z obiektu budowlanego przez osoby niepełnosprawne;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4)     zmiany zamierzonego sposobu użytkowania obiektu budowlanego lub jego części;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5)     ustaleń miejscowego planu zagospodarowania przestrzennego, innych aktów prawa miejscowego lub decyzji o warunkach zabudowy i zagospodarowania terenu;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6)     wymagającym uzyskania lub zmiany opinii, uzgodnień i pozwoleń, które są wymagane do uzyskania pozwolenia na budowę lub do dokonania zgłoszenia:</w:t>
      </w:r>
    </w:p>
    <w:p w:rsidR="00D96701" w:rsidRDefault="00D96701" w:rsidP="00D96701">
      <w:pPr>
        <w:pStyle w:val="zlitlitwpktzmlitwpktliter"/>
        <w:spacing w:before="0" w:beforeAutospacing="0" w:after="0" w:afterAutospacing="0" w:line="276" w:lineRule="auto"/>
        <w:ind w:left="1973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budowy, o której mowa w art. 29 ust. 1 pkt 1a, 2b i 19a, lub</w:t>
      </w:r>
    </w:p>
    <w:p w:rsidR="00D96701" w:rsidRDefault="00D96701" w:rsidP="00D96701">
      <w:pPr>
        <w:pStyle w:val="zlitlitwpktzmlitwpktliter"/>
        <w:spacing w:before="0" w:beforeAutospacing="0" w:after="0" w:afterAutospacing="0" w:line="276" w:lineRule="auto"/>
        <w:ind w:left="1973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przebudowy, o której mowa w art. 29 ust. 2 pkt 1b.”,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c)     po ust. 5 dodaje się ust. 5a w brzmieniu: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„5a. Nie jest istotnym odstąpieniem od zatwierdzonego projektu budowlanego lub innych warunków pozwolenia na budowę zmiana wysokości, szerokości lub długości obiektu budowlanego niebędącego obiektem liniowym, jeżeli odstąpienie łącznie spełnia następujące warunki: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1)     nie przekracza 2% wysokości, szerokości lub długości obiektu budowlanego określonych w projekcie budowlanym;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2)     nie zwiększa obszaru oddziaływania obiektu;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3)     nie mieści się w zakresie odstępstw, o których mowa w ust. 5 pkt 3–6, z wyjątkiem odstępstwa od projektowanych warunków ochrony przeciwpożarowej, jeżeli odstępstwo zostało uzgodnione z rzeczoznawcą do spraw zabezpieczeń przeciwpożarowych;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4)     nie narusza przepisów techniczno-budowlanych.”,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d)    ust. 6 otrzymuje brzmienie: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„6. Projektant dokonuje kwalifikacji zamierzonego odstąpienia od zatwierdzonego projektu budowlanego lub innych warunków pozwolenia na budowę, a w przypadku uznania, że jest ono nieistotne, obowiązany jest zamieścić w projekcie budowlanym odpowiednie informacje (rysunek i opis) dotyczące tego odstąpienia. Nieistotne odstąpienie od zatwierdzonego projektu budowlanego lub innych warunków pozwolenia na budowę nie wymaga uzyskania decyzji o zmianie pozwolenia na budowę.”;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9)     po art. 37 dodaje się art. 37a w brzmieniu:</w:t>
      </w:r>
    </w:p>
    <w:p w:rsidR="00D96701" w:rsidRDefault="00D96701" w:rsidP="00D96701">
      <w:pPr>
        <w:pStyle w:val="zartzmar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„Art. 37a. 1. Inwestor może, przed upływem 180 dni od dnia rozpoczęcia budowy określonego w zgłoszeniu, złożyć wniosek o wydanie decyzji o pozwoleniu na budowę tymczasowego obiektu budowlanego, o którym mowa w art. 29 ust. 1 pkt 12. Przepisy art. 32–36 stosuje się odpowiednio.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2. W przypadku złożenia wniosku, o którym mowa w ust. 1, inwestor może powstrzymać się od rozbiórki lub przeniesienia w inne miejsce tymczasowego obiektu budowlanego, o którym mowa w art. 29 ust. 1 pkt 12, do czasu zakończenia postępowania w przedmiocie pozwolenia na budowę.”;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10)   użyte w: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art. 41 w ust. 4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art. 48 w ust. 1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c)     art. 49 w ust. 1 we wprowadzeniu do wyliczenia, w ust. 3 oraz w ust. 4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d)    art. 49b w ust. 4, 6 i 7,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e)     art. 50 w ust. 1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f)     art. 50a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g)    art. 51 w ust. 1 we wprowadzeniu do wyliczenia, w ust. 3 we wprowadzeniu do wyliczenia oraz w ust. 4 i 5,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h)    art. 57 w ust. 4 i 6–8,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i)     art. 59 w ust. 1–3 i 4a–6,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j)     art. 59a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k)    art. 59c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l)     art. 59d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m)   art. 59f w ust. 6,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n)    art. 59g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o)    art. 62 w ust. 1 w pkt 3 oraz w ust. 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p)    art. 65,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q)    art. 66 w ust. 1 w części wspólnej oraz w ust.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r)     art. 67 w ust. 1 i 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s)     art. 68 we wprowadzeniu do wyliczenia,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t)     art. 69,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u)    art. 70 w ust.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v)    art. 71a w ust. 1 we wprowadzeniu do wyliczenia oraz w ust. 2 i 4,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w)    art. 72 w ust. 3,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x)    art. 75 w ust. 1 w pkt 3 w lit. a,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y)    art. 76 w ust. 2,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z)     art. 78 w ust. 1,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za)   art. 93 w pkt 10</w:t>
      </w:r>
    </w:p>
    <w:p w:rsidR="00D96701" w:rsidRDefault="00D96701" w:rsidP="00D96701">
      <w:pPr>
        <w:pStyle w:val="czwsplitczwsplnaliter"/>
        <w:spacing w:before="0" w:beforeAutospacing="0" w:after="0" w:afterAutospacing="0" w:line="276" w:lineRule="auto"/>
        <w:ind w:left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– w różnych przypadkach wyrazy „właściwy organ” zastępuje się użytymi w odpowiednich przypadkach wyrazami „organ nadzoru budowlanego”;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11)   w art. 48 ust. 2 otrzymuje brzmienie: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„2. Jeżeli budowa, o której mowa w ust. 1, jest zgodna z przepisami o planowaniu i zagospodarowaniu przestrzennym, a w szczególności ustaleniami obowiązującego miejscowego planu zagospodarowania przestrzennego i innymi aktami prawa miejscowego oraz nie narusza przepisów, w tym techniczno-budowlanych, w zakresie uniemożliwiającym doprowadzenie obiektu budowlanego lub jego części do stanu zgodnego z prawem, organ nadzoru budowlanego wstrzymuje postanowieniem prowadzenie robót budowlanych. Na postanowienie przysługuje zażalenie.”;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12)   w art. 49b: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ust. 1 otrzymuje brzmienie: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„1. Organ nadzoru budowlanego nakazuje, z zastrzeżeniem ust. 2, w drodze decyzji, rozbiórkę obiektu budowlanego, lub jego części, będącego w budowie albo wybudowanego bez wymaganego zgłoszenia bądź pomimo wniesienia sprzeciwu przez organ administracji architektoniczno-budowlanej.”,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w ust. 2 wprowadzenie do wyliczenia otrzymuje brzmienie:</w:t>
      </w:r>
    </w:p>
    <w:p w:rsidR="00D96701" w:rsidRDefault="00D96701" w:rsidP="00D96701">
      <w:pPr>
        <w:pStyle w:val="zlitfragzmlitfragmentunpzdanialiter"/>
        <w:spacing w:before="0" w:beforeAutospacing="0" w:after="0" w:afterAutospacing="0" w:line="276" w:lineRule="auto"/>
        <w:ind w:left="987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„Jeżeli budowa, o której mowa w ust. 1, jest zgodna z przepisami o planowaniu i zagospodarowaniu przestrzennym, a w szczególności ustaleniami obowiązującego miejscowego planu zagospodarowania przestrzennego i innymi aktami prawa miejscowego, oraz nie narusza przepisów, w tym techniczno-budowlanych, w zakresie uniemożliwiającym doprowadzenie obiektu budowlanego lub jego części do stanu zgodnego z prawem, organ nadzoru budowlanego wstrzymuje postanowieniem – gdy budowa nie została zakończona – prowadzenie robót budowlanych oraz nakłada na inwestora obowiązek przedłożenia w wyznaczonym terminie:”,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c)     po ust. 2 dodaje się ust. 2a w brzmieniu:</w:t>
      </w:r>
    </w:p>
    <w:p w:rsidR="00D96701" w:rsidRDefault="00D96701" w:rsidP="00D96701">
      <w:pPr>
        <w:pStyle w:val="zlitustzmustliter"/>
        <w:spacing w:before="0" w:beforeAutospacing="0" w:after="0" w:afterAutospacing="0" w:line="276" w:lineRule="auto"/>
        <w:ind w:left="987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„2a. Na postanowienie, o którym mowa w ust. 2, przysługuje zażalenie.”,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d)    w ust. 5 pkt 1 i 2 otrzymują brzmienie: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„1)   art. 29 ust. 1 pkt 9–11, 14 oraz w art. 30 ust. 1 pkt 3 i 4 – wynosi 2500 zł;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2)     art. 29 ust. 1 pkt 1 lit. b–d, pkt 2, 2a, 3, 3a, 6, 12, 13, 16, 19, 20b oraz 28 – wynosi 5000 zł.”;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13)   art. 54 otrzymuje brzmienie:</w:t>
      </w:r>
    </w:p>
    <w:p w:rsidR="00D96701" w:rsidRDefault="00D96701" w:rsidP="00D96701">
      <w:pPr>
        <w:pStyle w:val="zartzmar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„Art. 54. 1. Do użytkowania obiektu budowlanego, na budowę którego wymagane jest pozwolenie na budowę albo zgłoszenie budowy, o której mowa w art. 29 ust. 1 pkt 1a i 19a, można przystąpić, z zastrzeżeniem art. 55 i art. 57, po zawiadomieniu organu nadzoru budowlanego o zakończeniu budowy, jeżeli organ ten, w terminie 14 dni od dnia doręczenia zawiadomienia, nie zgłosi sprzeciwu w drodze decyzji. Przepis art. 30 ust. 6a stosuje się.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2. Organ nadzoru budowlanego może z urzędu przed upływem terminu, o którym mowa w ust. 1, wydać zaświadczenie o braku podstaw do wniesienia sprzeciwu. Wydanie zaświadczenia wyłącza możliwość wniesienia sprzeciwu, o którym mowa w ust. 1, oraz uprawnia inwestora do rozpoczęcia użytkowania obiektu, o którym mowa w ust. 1.”;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14)   w art. 59d ust. 1a otrzymuje brzmienie: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„1a. Dopuszcza się przekazanie protokołu organowi wyższego stopnia w postaci elektronicznej. W takim przypadku sporządza się dwa egzemplarze protokołu, a protokół w postaci elektronicznej przekazuje się również Głównemu Inspektorowi Nadzoru Budowlanego.”;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15)   w art. 71 po ust. 4b dodaje się ust. 4c w brzmieniu:</w:t>
      </w:r>
    </w:p>
    <w:p w:rsidR="00D96701" w:rsidRDefault="00D96701" w:rsidP="00D96701">
      <w:pPr>
        <w:pStyle w:val="zustzmus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„4c. Organ administracji architektoniczno-budowlanej może z urzędu przed upływem terminu, o którym mowa w ust. 4, wydać zaświadczenie o braku podstaw do wniesienia sprzeciwu. Wydanie zaświadczenia wyłącza możliwość wniesienia sprzeciwu, o którym mowa w ust. 4, oraz uprawnia inwestora do zmiany sposobu użytkowania obiektu budowlanego lub jego części.”;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16)   po art. 76 dodaje się art. 76a w brzmieniu:</w:t>
      </w:r>
    </w:p>
    <w:p w:rsidR="00D96701" w:rsidRDefault="00D96701" w:rsidP="00D96701">
      <w:pPr>
        <w:pStyle w:val="zartzmartartykuempunktem"/>
        <w:spacing w:before="0" w:beforeAutospacing="0" w:after="0" w:afterAutospacing="0" w:line="276" w:lineRule="auto"/>
        <w:ind w:left="510" w:firstLine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„Art. 76a. W przypadku, kiedy okoliczności wskazują na duże prawdopodobieństwo wspólnej przyczyny katastrofy budowlanej obejmującej kilka obiektów budowlanych, organ nadzoru budowlanego może prowadzić jedno postępowanie wyjaśniające dla wszystkich obiektów uszkodzonych w wyniku katastrofy.”;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17)   w art. 91 w ust. 1 pkt 1 otrzymuje brzmienie:</w:t>
      </w:r>
    </w:p>
    <w:p w:rsidR="00D96701" w:rsidRDefault="00D96701" w:rsidP="00D96701">
      <w:pPr>
        <w:pStyle w:val="zpktzmpktartykuempunktem"/>
        <w:spacing w:before="0" w:beforeAutospacing="0" w:after="0" w:afterAutospacing="0" w:line="276" w:lineRule="auto"/>
        <w:ind w:left="102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„1)   udaremnia określone ustawą czynności organów administracji architektoniczno-budowlanej lub nadzoru budowlanego,”;</w:t>
      </w:r>
    </w:p>
    <w:p w:rsidR="00D96701" w:rsidRDefault="00D96701" w:rsidP="00D96701">
      <w:pPr>
        <w:pStyle w:val="pktpunkt"/>
        <w:spacing w:before="0" w:beforeAutospacing="0" w:after="0" w:afterAutospacing="0" w:line="276" w:lineRule="auto"/>
        <w:ind w:left="510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18)   w art. 92: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a)     w ust. 1 pkt 3 otrzymuje brzmienie: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„3)   utrudnia, określone ustawą, czynności organów administracji architektoniczno-budowlanej lub nadzoru budowlanego,”,</w:t>
      </w:r>
    </w:p>
    <w:p w:rsidR="00D96701" w:rsidRDefault="00D96701" w:rsidP="00D96701">
      <w:pPr>
        <w:pStyle w:val="litlitera"/>
        <w:spacing w:before="0" w:beforeAutospacing="0" w:after="0" w:afterAutospacing="0" w:line="276" w:lineRule="auto"/>
        <w:ind w:left="986" w:hanging="476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b)    w ust. 2 pkt 1 otrzymuje brzmienie:</w:t>
      </w:r>
    </w:p>
    <w:p w:rsidR="00D96701" w:rsidRDefault="00D96701" w:rsidP="00D96701">
      <w:pPr>
        <w:pStyle w:val="zlitpktzmpktliter"/>
        <w:spacing w:before="0" w:beforeAutospacing="0" w:after="0" w:afterAutospacing="0" w:line="276" w:lineRule="auto"/>
        <w:ind w:left="1497" w:hanging="510"/>
        <w:jc w:val="both"/>
        <w:rPr>
          <w:rFonts w:ascii="Times" w:hAnsi="Times" w:cs="Times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18"/>
          <w:szCs w:val="18"/>
        </w:rPr>
        <w:t>„1)   nie stosuje się do wydanych, na podstawie ustawy, decyzji organów administracji architektoniczno-budowlanej lub nadzoru budowlanego;”.</w:t>
      </w:r>
    </w:p>
    <w:p w:rsidR="00D05571" w:rsidRDefault="00D05571" w:rsidP="00D96701"/>
    <w:p w:rsidR="00C1373D" w:rsidRDefault="00C1373D" w:rsidP="00C1373D">
      <w:pPr>
        <w:spacing w:after="0"/>
        <w:jc w:val="center"/>
      </w:pPr>
      <w:r>
        <w:t xml:space="preserve">Źródło: </w:t>
      </w:r>
      <w:r>
        <w:t>USTAWA</w:t>
      </w:r>
      <w:r>
        <w:t xml:space="preserve"> </w:t>
      </w:r>
      <w:r>
        <w:t>z dnia 16 grudnia 2016 r. o zmianie niektórych ustaw w celu poprawy otoczenia</w:t>
      </w:r>
    </w:p>
    <w:p w:rsidR="00C1373D" w:rsidRDefault="00C1373D" w:rsidP="00C1373D">
      <w:pPr>
        <w:spacing w:after="0"/>
        <w:jc w:val="center"/>
      </w:pPr>
      <w:r>
        <w:t>prawnego przedsiębiorców</w:t>
      </w:r>
    </w:p>
    <w:p w:rsidR="00C1373D" w:rsidRDefault="00C1373D" w:rsidP="00C1373D">
      <w:pPr>
        <w:spacing w:line="236" w:lineRule="auto"/>
        <w:ind w:right="240"/>
        <w:rPr>
          <w:rFonts w:ascii="Arial" w:eastAsia="Arial" w:hAnsi="Arial" w:cs="Arial"/>
          <w:sz w:val="4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0"/>
      </w:tblGrid>
      <w:tr w:rsidR="00C1373D" w:rsidTr="00C1373D">
        <w:tc>
          <w:tcPr>
            <w:tcW w:w="978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sz w:val="40"/>
                <w:szCs w:val="24"/>
              </w:rPr>
            </w:pPr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sz w:val="40"/>
                <w:szCs w:val="24"/>
              </w:rPr>
            </w:pPr>
            <w:r w:rsidRPr="004C02F7">
              <w:rPr>
                <w:rFonts w:ascii="Arial" w:eastAsia="Arial" w:hAnsi="Arial" w:cs="Arial"/>
                <w:sz w:val="40"/>
                <w:szCs w:val="24"/>
              </w:rPr>
              <w:t>Zapraszam na bloga</w:t>
            </w:r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sz w:val="40"/>
                <w:szCs w:val="24"/>
              </w:rPr>
            </w:pPr>
            <w:r w:rsidRPr="004C02F7">
              <w:rPr>
                <w:rFonts w:ascii="Arial" w:eastAsia="Arial" w:hAnsi="Arial" w:cs="Arial"/>
                <w:sz w:val="40"/>
                <w:szCs w:val="24"/>
              </w:rPr>
              <w:t>o projektowaniu,</w:t>
            </w:r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sz w:val="40"/>
                <w:szCs w:val="24"/>
              </w:rPr>
            </w:pPr>
            <w:r w:rsidRPr="004C02F7">
              <w:rPr>
                <w:rFonts w:ascii="Arial" w:eastAsia="Arial" w:hAnsi="Arial" w:cs="Arial"/>
                <w:sz w:val="40"/>
                <w:szCs w:val="24"/>
              </w:rPr>
              <w:t>wykonawstwie</w:t>
            </w:r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sz w:val="40"/>
                <w:szCs w:val="24"/>
              </w:rPr>
            </w:pPr>
            <w:r w:rsidRPr="004C02F7">
              <w:rPr>
                <w:rFonts w:ascii="Arial" w:eastAsia="Arial" w:hAnsi="Arial" w:cs="Arial"/>
                <w:sz w:val="40"/>
                <w:szCs w:val="24"/>
              </w:rPr>
              <w:t>i prowadzeniu biura projektów instalacji sanitarnych</w:t>
            </w:r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b/>
                <w:sz w:val="56"/>
                <w:szCs w:val="24"/>
              </w:rPr>
            </w:pPr>
          </w:p>
          <w:p w:rsidR="00C1373D" w:rsidRP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b/>
                <w:color w:val="00B0F0"/>
                <w:sz w:val="56"/>
                <w:szCs w:val="24"/>
              </w:rPr>
            </w:pPr>
            <w:hyperlink r:id="rId7" w:history="1">
              <w:r w:rsidRPr="00C1373D">
                <w:rPr>
                  <w:rStyle w:val="Hipercze"/>
                  <w:rFonts w:ascii="Arial" w:eastAsia="Arial" w:hAnsi="Arial" w:cs="Arial"/>
                  <w:b/>
                  <w:color w:val="00B0F0"/>
                  <w:sz w:val="56"/>
                  <w:szCs w:val="24"/>
                </w:rPr>
                <w:t>www.poradnikprojektanta.pl</w:t>
              </w:r>
            </w:hyperlink>
          </w:p>
          <w:p w:rsid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b/>
                <w:sz w:val="56"/>
                <w:szCs w:val="24"/>
              </w:rPr>
            </w:pPr>
          </w:p>
          <w:p w:rsidR="00C1373D" w:rsidRP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i/>
                <w:sz w:val="32"/>
                <w:szCs w:val="24"/>
              </w:rPr>
            </w:pPr>
            <w:r w:rsidRPr="00C1373D">
              <w:rPr>
                <w:rFonts w:ascii="Arial" w:eastAsia="Arial" w:hAnsi="Arial" w:cs="Arial"/>
                <w:i/>
                <w:sz w:val="32"/>
                <w:szCs w:val="24"/>
              </w:rPr>
              <w:t>Pozdrawiam</w:t>
            </w:r>
          </w:p>
          <w:p w:rsidR="00C1373D" w:rsidRPr="00C1373D" w:rsidRDefault="00C1373D" w:rsidP="00C1373D">
            <w:pPr>
              <w:spacing w:line="236" w:lineRule="auto"/>
              <w:ind w:right="240"/>
              <w:jc w:val="center"/>
              <w:rPr>
                <w:rFonts w:ascii="Arial" w:eastAsia="Arial" w:hAnsi="Arial" w:cs="Arial"/>
                <w:i/>
                <w:sz w:val="32"/>
                <w:szCs w:val="24"/>
              </w:rPr>
            </w:pPr>
            <w:r w:rsidRPr="00C1373D">
              <w:rPr>
                <w:rFonts w:ascii="Arial" w:eastAsia="Arial" w:hAnsi="Arial" w:cs="Arial"/>
                <w:i/>
                <w:sz w:val="32"/>
                <w:szCs w:val="24"/>
              </w:rPr>
              <w:t>Adam Masłowski</w:t>
            </w:r>
          </w:p>
          <w:p w:rsidR="00C1373D" w:rsidRDefault="00C1373D" w:rsidP="00C1373D">
            <w:pPr>
              <w:spacing w:line="236" w:lineRule="auto"/>
              <w:ind w:right="240"/>
              <w:rPr>
                <w:rFonts w:ascii="Arial" w:eastAsia="Arial" w:hAnsi="Arial" w:cs="Arial"/>
                <w:sz w:val="40"/>
                <w:szCs w:val="24"/>
              </w:rPr>
            </w:pPr>
          </w:p>
        </w:tc>
      </w:tr>
    </w:tbl>
    <w:p w:rsidR="00C1373D" w:rsidRDefault="00C1373D" w:rsidP="00C1373D">
      <w:pPr>
        <w:spacing w:line="236" w:lineRule="auto"/>
        <w:ind w:right="240"/>
        <w:rPr>
          <w:rFonts w:ascii="Arial" w:eastAsia="Arial" w:hAnsi="Arial" w:cs="Arial"/>
          <w:sz w:val="40"/>
          <w:szCs w:val="24"/>
        </w:rPr>
      </w:pPr>
    </w:p>
    <w:p w:rsidR="00C1373D" w:rsidRDefault="00C1373D" w:rsidP="00C1373D">
      <w:pPr>
        <w:spacing w:line="236" w:lineRule="auto"/>
        <w:ind w:right="240"/>
        <w:rPr>
          <w:rFonts w:ascii="Arial" w:eastAsia="Arial" w:hAnsi="Arial" w:cs="Arial"/>
          <w:sz w:val="40"/>
          <w:szCs w:val="24"/>
        </w:rPr>
      </w:pPr>
      <w:bookmarkStart w:id="0" w:name="_GoBack"/>
      <w:bookmarkEnd w:id="0"/>
    </w:p>
    <w:p w:rsidR="00C1373D" w:rsidRDefault="00C1373D" w:rsidP="00C1373D">
      <w:pPr>
        <w:spacing w:line="236" w:lineRule="auto"/>
        <w:ind w:right="240"/>
        <w:rPr>
          <w:rFonts w:ascii="Arial" w:eastAsia="Arial" w:hAnsi="Arial" w:cs="Arial"/>
          <w:sz w:val="40"/>
          <w:szCs w:val="24"/>
        </w:rPr>
      </w:pPr>
    </w:p>
    <w:p w:rsidR="00C1373D" w:rsidRDefault="00C1373D" w:rsidP="00D96701"/>
    <w:sectPr w:rsidR="00C1373D" w:rsidSect="00D96701">
      <w:headerReference w:type="default" r:id="rId8"/>
      <w:footerReference w:type="default" r:id="rId9"/>
      <w:pgSz w:w="11906" w:h="16838"/>
      <w:pgMar w:top="141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FD" w:rsidRDefault="002F3BFD" w:rsidP="00D96701">
      <w:pPr>
        <w:spacing w:after="0" w:line="240" w:lineRule="auto"/>
      </w:pPr>
      <w:r>
        <w:separator/>
      </w:r>
    </w:p>
  </w:endnote>
  <w:endnote w:type="continuationSeparator" w:id="0">
    <w:p w:rsidR="002F3BFD" w:rsidRDefault="002F3BFD" w:rsidP="00D9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01" w:rsidRDefault="00D96701">
    <w:pPr>
      <w:pStyle w:val="Stopka"/>
    </w:pPr>
    <w:r>
      <w:t xml:space="preserve">Źródło: </w:t>
    </w:r>
    <w:r w:rsidRPr="00D96701">
      <w:t>http://www.sejm.gov.pl/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FD" w:rsidRDefault="002F3BFD" w:rsidP="00D96701">
      <w:pPr>
        <w:spacing w:after="0" w:line="240" w:lineRule="auto"/>
      </w:pPr>
      <w:r>
        <w:separator/>
      </w:r>
    </w:p>
  </w:footnote>
  <w:footnote w:type="continuationSeparator" w:id="0">
    <w:p w:rsidR="002F3BFD" w:rsidRDefault="002F3BFD" w:rsidP="00D9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01" w:rsidRDefault="00B73772" w:rsidP="00D96701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2751827" cy="9755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nternet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699" cy="975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01"/>
    <w:rsid w:val="00002159"/>
    <w:rsid w:val="002F3BFD"/>
    <w:rsid w:val="0098677A"/>
    <w:rsid w:val="00B73772"/>
    <w:rsid w:val="00C1373D"/>
    <w:rsid w:val="00D05571"/>
    <w:rsid w:val="00D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rodzaktutznustawalubrozporzdzenieiorganwydajcy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artustawynprozporzdzeni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litczwsplnaliter">
    <w:name w:val="czwsplitczwsplna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rtiret">
    <w:name w:val="tir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irlitzmlittiret">
    <w:name w:val="ztirlitzmli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irpktzmpkttiret">
    <w:name w:val="ztirpktzmpk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indeksgrny">
    <w:name w:val="igindeksgrny"/>
    <w:basedOn w:val="Domylnaczcionkaakapitu"/>
    <w:rsid w:val="00D96701"/>
  </w:style>
  <w:style w:type="character" w:customStyle="1" w:styleId="apple-converted-space">
    <w:name w:val="apple-converted-space"/>
    <w:basedOn w:val="Domylnaczcionkaakapitu"/>
    <w:rsid w:val="00D96701"/>
  </w:style>
  <w:style w:type="paragraph" w:customStyle="1" w:styleId="ztirlitwpktzmlitwpkttiret">
    <w:name w:val="ztirlitwpktzmlitwpk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fragzmfragmentunpzdaniaartykuempunktem">
    <w:name w:val="zfragzmfragmentunpzdania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litwpktzmlitwpktliter">
    <w:name w:val="zlitlitwpktzmlitwpk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fragzmlitfragmentunpzdanialiter">
    <w:name w:val="zlitfragzmlitfragmentunpzdania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01"/>
  </w:style>
  <w:style w:type="paragraph" w:styleId="Stopka">
    <w:name w:val="footer"/>
    <w:basedOn w:val="Normalny"/>
    <w:link w:val="StopkaZnak"/>
    <w:uiPriority w:val="99"/>
    <w:unhideWhenUsed/>
    <w:rsid w:val="00D9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01"/>
  </w:style>
  <w:style w:type="paragraph" w:styleId="Tekstdymka">
    <w:name w:val="Balloon Text"/>
    <w:basedOn w:val="Normalny"/>
    <w:link w:val="TekstdymkaZnak"/>
    <w:uiPriority w:val="99"/>
    <w:semiHidden/>
    <w:unhideWhenUsed/>
    <w:rsid w:val="00D9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2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1373D"/>
    <w:rPr>
      <w:color w:val="0000FF"/>
      <w:u w:val="single"/>
    </w:rPr>
  </w:style>
  <w:style w:type="table" w:styleId="Tabela-Siatka">
    <w:name w:val="Table Grid"/>
    <w:basedOn w:val="Standardowy"/>
    <w:uiPriority w:val="59"/>
    <w:rsid w:val="00C1373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rodzaktutznustawalubrozporzdzenieiorganwydajcy">
    <w:name w:val="oznrodzaktutznustawalubrozporzdzenieiorganwydajcy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aaktudatauchwalenialubwydaniaaktu">
    <w:name w:val="dataaktudatauchwalenialubwydaniaaktu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artustawynprozporzdzeni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punkt">
    <w:name w:val="pktpunk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litera">
    <w:name w:val="litlitera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zwsplitczwsplnaliter">
    <w:name w:val="czwsplitczwsplna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ustzmustartykuempunktem">
    <w:name w:val="zustzmus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rtiret">
    <w:name w:val="tir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irlitzmlittiret">
    <w:name w:val="ztirlitzmli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tirpktzmpkttiret">
    <w:name w:val="ztirpktzmpk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gindeksgrny">
    <w:name w:val="igindeksgrny"/>
    <w:basedOn w:val="Domylnaczcionkaakapitu"/>
    <w:rsid w:val="00D96701"/>
  </w:style>
  <w:style w:type="character" w:customStyle="1" w:styleId="apple-converted-space">
    <w:name w:val="apple-converted-space"/>
    <w:basedOn w:val="Domylnaczcionkaakapitu"/>
    <w:rsid w:val="00D96701"/>
  </w:style>
  <w:style w:type="paragraph" w:customStyle="1" w:styleId="ztirlitwpktzmlitwpkttiret">
    <w:name w:val="ztirlitwpktzmlitwpkttiret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ustzmustliter">
    <w:name w:val="zlitustzmus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fragzmfragmentunpzdaniaartykuempunktem">
    <w:name w:val="zfragzmfragmentunpzdania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pktzmpktliter">
    <w:name w:val="zlitpktzmpk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litwpktzmlitwpktliter">
    <w:name w:val="zlitlitwpktzmlitwpkt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rtzmartartykuempunktem">
    <w:name w:val="zartzmar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litfragzmlitfragmentunpzdanialiter">
    <w:name w:val="zlitfragzmlitfragmentunpzdanialiter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pktzmpktartykuempunktem">
    <w:name w:val="zpktzmpktartykuempunktem"/>
    <w:basedOn w:val="Normalny"/>
    <w:rsid w:val="00D96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701"/>
  </w:style>
  <w:style w:type="paragraph" w:styleId="Stopka">
    <w:name w:val="footer"/>
    <w:basedOn w:val="Normalny"/>
    <w:link w:val="StopkaZnak"/>
    <w:uiPriority w:val="99"/>
    <w:unhideWhenUsed/>
    <w:rsid w:val="00D96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701"/>
  </w:style>
  <w:style w:type="paragraph" w:styleId="Tekstdymka">
    <w:name w:val="Balloon Text"/>
    <w:basedOn w:val="Normalny"/>
    <w:link w:val="TekstdymkaZnak"/>
    <w:uiPriority w:val="99"/>
    <w:semiHidden/>
    <w:unhideWhenUsed/>
    <w:rsid w:val="00D96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70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02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1373D"/>
    <w:rPr>
      <w:color w:val="0000FF"/>
      <w:u w:val="single"/>
    </w:rPr>
  </w:style>
  <w:style w:type="table" w:styleId="Tabela-Siatka">
    <w:name w:val="Table Grid"/>
    <w:basedOn w:val="Standardowy"/>
    <w:uiPriority w:val="59"/>
    <w:rsid w:val="00C1373D"/>
    <w:pPr>
      <w:spacing w:after="0" w:line="240" w:lineRule="auto"/>
    </w:pPr>
    <w:rPr>
      <w:rFonts w:ascii="Times New Roman" w:eastAsiaTheme="minorEastAsia" w:hAnsi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1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adnikprojektanta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2035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2017-01-21T21:45:00Z</cp:lastPrinted>
  <dcterms:created xsi:type="dcterms:W3CDTF">2017-01-21T21:37:00Z</dcterms:created>
  <dcterms:modified xsi:type="dcterms:W3CDTF">2017-01-22T12:27:00Z</dcterms:modified>
</cp:coreProperties>
</file>